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3FACC6" w:rsidR="00C00631" w:rsidRPr="00CC1047" w:rsidRDefault="00CC1047" w:rsidP="00CC1047">
      <w:pPr>
        <w:spacing w:before="240" w:after="240"/>
        <w:rPr>
          <w:rFonts w:ascii="Times New Roman" w:hAnsi="Times New Roman" w:cs="Times New Roman"/>
          <w:b/>
          <w:sz w:val="44"/>
          <w:szCs w:val="44"/>
          <w:lang w:val="en-GB"/>
        </w:rPr>
      </w:pPr>
      <w:r w:rsidRPr="00CC1047">
        <w:rPr>
          <w:rFonts w:ascii="Times New Roman" w:hAnsi="Times New Roman" w:cs="Times New Roman"/>
          <w:b/>
          <w:bCs/>
          <w:sz w:val="28"/>
          <w:szCs w:val="28"/>
          <w:lang w:val="en-GB"/>
        </w:rPr>
        <w:t>Call for Papers – THEATRALIA 202</w:t>
      </w:r>
      <w:r w:rsidR="00F85196">
        <w:rPr>
          <w:rFonts w:ascii="Times New Roman" w:hAnsi="Times New Roman" w:cs="Times New Roman"/>
          <w:b/>
          <w:bCs/>
          <w:sz w:val="28"/>
          <w:szCs w:val="28"/>
          <w:lang w:val="en-GB"/>
        </w:rPr>
        <w:t>4</w:t>
      </w:r>
      <w:r w:rsidRPr="00CC1047">
        <w:rPr>
          <w:rFonts w:ascii="Times New Roman" w:hAnsi="Times New Roman" w:cs="Times New Roman"/>
          <w:b/>
          <w:bCs/>
          <w:sz w:val="28"/>
          <w:szCs w:val="28"/>
          <w:lang w:val="en-GB"/>
        </w:rPr>
        <w:t xml:space="preserve">/2: </w:t>
      </w:r>
      <w:r w:rsidR="009703AE" w:rsidRPr="00CC1047">
        <w:rPr>
          <w:rFonts w:ascii="Times New Roman" w:hAnsi="Times New Roman" w:cs="Times New Roman"/>
          <w:b/>
          <w:bCs/>
          <w:sz w:val="28"/>
          <w:szCs w:val="28"/>
          <w:lang w:val="en-GB"/>
        </w:rPr>
        <w:t>Theatre in the Digital Age</w:t>
      </w:r>
    </w:p>
    <w:p w14:paraId="4A55CB02" w14:textId="46874CAA" w:rsidR="00CC1047" w:rsidRPr="00CC1047" w:rsidRDefault="00CC1047" w:rsidP="00CC1047">
      <w:pPr>
        <w:spacing w:line="240" w:lineRule="auto"/>
        <w:rPr>
          <w:rFonts w:ascii="Times New Roman" w:hAnsi="Times New Roman" w:cs="Times New Roman"/>
          <w:sz w:val="28"/>
          <w:szCs w:val="28"/>
          <w:lang w:val="en-GB"/>
        </w:rPr>
      </w:pPr>
      <w:r w:rsidRPr="00CC1047">
        <w:rPr>
          <w:rFonts w:ascii="Times New Roman" w:hAnsi="Times New Roman" w:cs="Times New Roman"/>
          <w:sz w:val="28"/>
          <w:szCs w:val="28"/>
          <w:lang w:val="en-GB"/>
        </w:rPr>
        <w:t xml:space="preserve">Theatralia: </w:t>
      </w:r>
      <w:r w:rsidRPr="00CC1047">
        <w:rPr>
          <w:rFonts w:ascii="Times New Roman" w:hAnsi="Times New Roman" w:cs="Times New Roman"/>
          <w:i/>
          <w:iCs/>
          <w:sz w:val="28"/>
          <w:szCs w:val="28"/>
          <w:lang w:val="en-GB"/>
        </w:rPr>
        <w:t>Journal of Theatre Studies</w:t>
      </w:r>
    </w:p>
    <w:p w14:paraId="74336A33" w14:textId="77777777" w:rsidR="00CC1047" w:rsidRPr="00CC1047" w:rsidRDefault="00CC1047" w:rsidP="00CC1047">
      <w:pPr>
        <w:spacing w:before="240" w:after="240"/>
        <w:jc w:val="both"/>
        <w:rPr>
          <w:rFonts w:ascii="Times New Roman" w:hAnsi="Times New Roman" w:cs="Times New Roman"/>
          <w:b/>
          <w:bCs/>
          <w:sz w:val="28"/>
          <w:szCs w:val="28"/>
          <w:lang w:val="en-GB"/>
        </w:rPr>
      </w:pPr>
      <w:r w:rsidRPr="00CC1047">
        <w:rPr>
          <w:rFonts w:ascii="Times New Roman" w:hAnsi="Times New Roman" w:cs="Times New Roman"/>
          <w:b/>
          <w:bCs/>
          <w:sz w:val="28"/>
          <w:szCs w:val="28"/>
          <w:lang w:val="en-GB"/>
        </w:rPr>
        <w:t>Issue editors: Zsolt Almási and Kinga Földváry</w:t>
      </w:r>
    </w:p>
    <w:p w14:paraId="0A9AEAEE" w14:textId="47BDBB68" w:rsidR="00CC1047" w:rsidRPr="005377DC" w:rsidRDefault="00CC1047" w:rsidP="00CC1047">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br/>
      </w:r>
    </w:p>
    <w:p w14:paraId="20CD7C96" w14:textId="77777777" w:rsidR="00675556" w:rsidRDefault="00675556">
      <w:pPr>
        <w:ind w:left="2267"/>
        <w:jc w:val="right"/>
        <w:rPr>
          <w:rFonts w:ascii="Times New Roman" w:hAnsi="Times New Roman" w:cs="Times New Roman"/>
          <w:sz w:val="20"/>
          <w:szCs w:val="20"/>
          <w:lang w:val="en-GB"/>
        </w:rPr>
      </w:pPr>
    </w:p>
    <w:p w14:paraId="00000002" w14:textId="369F8566" w:rsidR="00C00631" w:rsidRPr="00BF39BA" w:rsidRDefault="009703AE">
      <w:pPr>
        <w:ind w:left="2267"/>
        <w:jc w:val="right"/>
        <w:rPr>
          <w:rFonts w:ascii="Times New Roman" w:hAnsi="Times New Roman" w:cs="Times New Roman"/>
          <w:sz w:val="20"/>
          <w:szCs w:val="20"/>
          <w:lang w:val="en-GB"/>
        </w:rPr>
      </w:pPr>
      <w:r w:rsidRPr="00BF39BA">
        <w:rPr>
          <w:rFonts w:ascii="Times New Roman" w:hAnsi="Times New Roman" w:cs="Times New Roman"/>
          <w:sz w:val="20"/>
          <w:szCs w:val="20"/>
          <w:lang w:val="en-GB"/>
        </w:rPr>
        <w:t>“The theatre not only assimilates technologies; it represents their changing interface with theatre, and so with the technologized human.”</w:t>
      </w:r>
    </w:p>
    <w:p w14:paraId="00000003" w14:textId="77777777" w:rsidR="00C00631" w:rsidRDefault="009703AE">
      <w:pPr>
        <w:jc w:val="right"/>
        <w:rPr>
          <w:rFonts w:ascii="Times New Roman" w:hAnsi="Times New Roman" w:cs="Times New Roman"/>
          <w:i/>
          <w:sz w:val="20"/>
          <w:szCs w:val="20"/>
          <w:lang w:val="en-GB"/>
        </w:rPr>
      </w:pPr>
      <w:r w:rsidRPr="00BF39BA">
        <w:rPr>
          <w:rFonts w:ascii="Times New Roman" w:hAnsi="Times New Roman" w:cs="Times New Roman"/>
          <w:sz w:val="20"/>
          <w:szCs w:val="20"/>
          <w:lang w:val="en-GB"/>
        </w:rPr>
        <w:t xml:space="preserve">(W. B. Worthen, </w:t>
      </w:r>
      <w:r w:rsidRPr="00BF39BA">
        <w:rPr>
          <w:rFonts w:ascii="Times New Roman" w:hAnsi="Times New Roman" w:cs="Times New Roman"/>
          <w:i/>
          <w:sz w:val="20"/>
          <w:szCs w:val="20"/>
          <w:lang w:val="en-GB"/>
        </w:rPr>
        <w:t>Shakespeare, Technicity, Theatre)</w:t>
      </w:r>
    </w:p>
    <w:p w14:paraId="7A7E1CA2" w14:textId="77777777" w:rsidR="00CC1047" w:rsidRPr="00BF39BA" w:rsidRDefault="00CC1047">
      <w:pPr>
        <w:jc w:val="right"/>
        <w:rPr>
          <w:rFonts w:ascii="Times New Roman" w:hAnsi="Times New Roman" w:cs="Times New Roman"/>
          <w:i/>
          <w:sz w:val="20"/>
          <w:szCs w:val="20"/>
          <w:lang w:val="en-GB"/>
        </w:rPr>
      </w:pPr>
    </w:p>
    <w:p w14:paraId="00000004" w14:textId="1EDF5E2B" w:rsidR="00C00631" w:rsidRPr="00BF39BA" w:rsidRDefault="009703AE">
      <w:pPr>
        <w:spacing w:before="240" w:after="24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xml:space="preserve">Theatre has often been described as the medium of the here and now, the art of the moment, the most elusive and temporary, precisely because of its physical embodiment in the reality of the stage. Yet it is undeniable that in the past decades, the digital medium has infiltrated the theatre as well as all other forms of cultural production, and by now the appearance of digital technology on stage has become almost commonplace. The </w:t>
      </w:r>
      <w:r w:rsidR="00805FEA">
        <w:rPr>
          <w:rFonts w:ascii="Times New Roman" w:hAnsi="Times New Roman" w:cs="Times New Roman"/>
          <w:sz w:val="24"/>
          <w:szCs w:val="24"/>
          <w:lang w:val="en-GB"/>
        </w:rPr>
        <w:t>COVID</w:t>
      </w:r>
      <w:r w:rsidRPr="00BF39BA">
        <w:rPr>
          <w:rFonts w:ascii="Times New Roman" w:hAnsi="Times New Roman" w:cs="Times New Roman"/>
          <w:sz w:val="24"/>
          <w:szCs w:val="24"/>
          <w:lang w:val="en-GB"/>
        </w:rPr>
        <w:t>-19 pandemic forced theatres – together with many other aspects of our social and cultural existence – into the realm of the digital, where once again the differences persisted, if not increased, between the haves and the have-nots; institutions with already available technology for recording, streaming and storage, or sufficient backing for investing in the required technology, fared better during the challenging times of social distancing and closed theatre spaces than amateur, fringe productions or venues/troupes relying only on ticket prices. The archive took on increased significance for the same reason – theatres who could simply make already existing recordings accessible could continue to have some income during the lockdown period as well.</w:t>
      </w:r>
    </w:p>
    <w:p w14:paraId="00000005" w14:textId="77777777" w:rsidR="00C00631" w:rsidRPr="00BF39BA" w:rsidRDefault="009703AE">
      <w:pPr>
        <w:pBdr>
          <w:top w:val="nil"/>
          <w:left w:val="nil"/>
          <w:bottom w:val="nil"/>
          <w:right w:val="nil"/>
          <w:between w:val="nil"/>
        </w:pBdr>
        <w:spacing w:before="240" w:after="24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Yet the Digital Age has been here with us for longer than the pandemic, fostering a rich trajectory of interactions between the analogue and digital realms. This opportunity, marked by the coexistence of the human corporeal presence and disembodied /intangible code, presents a fertile ground for constant exploration and experimentation. The artistic domain, notably theatrical performances, thus, continues to delve into these dynamic possibilities, their allure heightened in the post-pandemic landscape, which not only underscores the enduring relevance but also emphasises the enduring potential of this intriguing interplay that has been and continues to be explored by performers and productions.</w:t>
      </w:r>
    </w:p>
    <w:p w14:paraId="00000006" w14:textId="7A2C58CE" w:rsidR="00C00631" w:rsidRPr="00BF39BA" w:rsidRDefault="009703AE">
      <w:pPr>
        <w:pBdr>
          <w:top w:val="nil"/>
          <w:left w:val="nil"/>
          <w:bottom w:val="nil"/>
          <w:right w:val="nil"/>
          <w:between w:val="nil"/>
        </w:pBdr>
        <w:spacing w:before="240" w:after="24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xml:space="preserve">The issue of </w:t>
      </w:r>
      <w:r w:rsidRPr="00805FEA">
        <w:rPr>
          <w:rFonts w:ascii="Times New Roman" w:hAnsi="Times New Roman" w:cs="Times New Roman"/>
          <w:i/>
          <w:iCs/>
          <w:sz w:val="24"/>
          <w:szCs w:val="24"/>
          <w:lang w:val="en-GB"/>
        </w:rPr>
        <w:t>Theatralia</w:t>
      </w:r>
      <w:r w:rsidRPr="00BF39BA">
        <w:rPr>
          <w:rFonts w:ascii="Times New Roman" w:hAnsi="Times New Roman" w:cs="Times New Roman"/>
          <w:sz w:val="24"/>
          <w:szCs w:val="24"/>
          <w:lang w:val="en-GB"/>
        </w:rPr>
        <w:t xml:space="preserve"> </w:t>
      </w:r>
      <w:r w:rsidR="00BE39B2">
        <w:rPr>
          <w:rFonts w:ascii="Times New Roman" w:hAnsi="Times New Roman" w:cs="Times New Roman"/>
          <w:sz w:val="24"/>
          <w:szCs w:val="24"/>
          <w:lang w:val="en-GB"/>
        </w:rPr>
        <w:t xml:space="preserve">2024/2 </w:t>
      </w:r>
      <w:r w:rsidRPr="00BF39BA">
        <w:rPr>
          <w:rFonts w:ascii="Times New Roman" w:hAnsi="Times New Roman" w:cs="Times New Roman"/>
          <w:sz w:val="24"/>
          <w:szCs w:val="24"/>
          <w:lang w:val="en-GB"/>
        </w:rPr>
        <w:t xml:space="preserve">dedicated to the topic of “Theatre in the Digital Age” invites contributions in the form of essays for the peer-reviewed section of the journal (4 000‒7 000 words), as well as reports and reviews (1 000‒1 500 words), that explore </w:t>
      </w:r>
      <w:r w:rsidRPr="00BF39BA">
        <w:rPr>
          <w:rFonts w:ascii="Times New Roman" w:hAnsi="Times New Roman" w:cs="Times New Roman"/>
          <w:sz w:val="23"/>
          <w:szCs w:val="23"/>
          <w:highlight w:val="white"/>
          <w:lang w:val="en-GB"/>
        </w:rPr>
        <w:t>the following themes (the list is by no means exhaustive)</w:t>
      </w:r>
      <w:r w:rsidRPr="00BF39BA">
        <w:rPr>
          <w:rFonts w:ascii="Times New Roman" w:hAnsi="Times New Roman" w:cs="Times New Roman"/>
          <w:sz w:val="24"/>
          <w:szCs w:val="24"/>
          <w:lang w:val="en-GB"/>
        </w:rPr>
        <w:t>:</w:t>
      </w:r>
    </w:p>
    <w:p w14:paraId="00000007"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xml:space="preserve">* </w:t>
      </w:r>
      <w:r w:rsidRPr="00BF39BA">
        <w:rPr>
          <w:rFonts w:ascii="Times New Roman" w:eastAsia="Times New Roman" w:hAnsi="Times New Roman" w:cs="Times New Roman"/>
          <w:sz w:val="14"/>
          <w:szCs w:val="14"/>
          <w:lang w:val="en-GB"/>
        </w:rPr>
        <w:t xml:space="preserve"> </w:t>
      </w:r>
      <w:r w:rsidRPr="00BF39BA">
        <w:rPr>
          <w:rFonts w:ascii="Times New Roman" w:hAnsi="Times New Roman" w:cs="Times New Roman"/>
          <w:sz w:val="24"/>
          <w:szCs w:val="24"/>
          <w:lang w:val="en-GB"/>
        </w:rPr>
        <w:t>uses of the digital in stage productions,</w:t>
      </w:r>
    </w:p>
    <w:p w14:paraId="00000008"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contemporary theatre and its interactions with the opportunities of the digital age, whether on or off stage,</w:t>
      </w:r>
    </w:p>
    <w:p w14:paraId="00000009"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lastRenderedPageBreak/>
        <w:t>* the use of digital technology in production, dissemination and archiving of theatre,</w:t>
      </w:r>
    </w:p>
    <w:p w14:paraId="0000000A"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streaming, screening, broadcasting performances,</w:t>
      </w:r>
    </w:p>
    <w:p w14:paraId="0000000B"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live and mediated acting,</w:t>
      </w:r>
    </w:p>
    <w:p w14:paraId="0000000C"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theatre and / as technology,</w:t>
      </w:r>
    </w:p>
    <w:p w14:paraId="0000000D"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the interaction of technology and theatre,</w:t>
      </w:r>
    </w:p>
    <w:p w14:paraId="0000000E"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algorithmic theatre,</w:t>
      </w:r>
    </w:p>
    <w:p w14:paraId="0000000F"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immersive VR technology and the theatre,</w:t>
      </w:r>
    </w:p>
    <w:p w14:paraId="00000010"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digital documentation, archiving and quantitative approaches,</w:t>
      </w:r>
    </w:p>
    <w:p w14:paraId="00000011"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distributed theatre,</w:t>
      </w:r>
    </w:p>
    <w:p w14:paraId="00000012"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virtual environments,</w:t>
      </w:r>
    </w:p>
    <w:p w14:paraId="00000013" w14:textId="77777777" w:rsidR="00C00631" w:rsidRPr="00BF39BA" w:rsidRDefault="009703AE">
      <w:pPr>
        <w:spacing w:before="240" w:after="240"/>
        <w:ind w:left="360"/>
        <w:jc w:val="both"/>
        <w:rPr>
          <w:rFonts w:ascii="Times New Roman" w:hAnsi="Times New Roman" w:cs="Times New Roman"/>
          <w:sz w:val="24"/>
          <w:szCs w:val="24"/>
          <w:lang w:val="en-GB"/>
        </w:rPr>
      </w:pPr>
      <w:r w:rsidRPr="00BF39BA">
        <w:rPr>
          <w:rFonts w:ascii="Times New Roman" w:hAnsi="Times New Roman" w:cs="Times New Roman"/>
          <w:sz w:val="24"/>
          <w:szCs w:val="24"/>
          <w:lang w:val="en-GB"/>
        </w:rPr>
        <w:t>* enhancing theatre experience with digital technology.</w:t>
      </w:r>
    </w:p>
    <w:p w14:paraId="6BB7B459" w14:textId="77777777" w:rsidR="00BF39BA" w:rsidRPr="00CC1047" w:rsidRDefault="00BF39BA" w:rsidP="00CC1047">
      <w:pPr>
        <w:spacing w:before="240" w:after="240"/>
        <w:jc w:val="both"/>
        <w:rPr>
          <w:rFonts w:ascii="Times New Roman" w:hAnsi="Times New Roman" w:cs="Times New Roman"/>
          <w:b/>
          <w:bCs/>
          <w:sz w:val="24"/>
          <w:szCs w:val="24"/>
          <w:lang w:val="en-GB"/>
        </w:rPr>
      </w:pPr>
    </w:p>
    <w:p w14:paraId="00000015" w14:textId="77777777" w:rsidR="00C00631" w:rsidRPr="00CC1047" w:rsidRDefault="009703AE" w:rsidP="009703AE">
      <w:pPr>
        <w:spacing w:before="240" w:after="240"/>
        <w:jc w:val="both"/>
        <w:rPr>
          <w:rFonts w:ascii="Times New Roman" w:hAnsi="Times New Roman" w:cs="Times New Roman"/>
          <w:b/>
          <w:bCs/>
          <w:sz w:val="24"/>
          <w:szCs w:val="24"/>
          <w:lang w:val="en-GB"/>
        </w:rPr>
      </w:pPr>
      <w:r w:rsidRPr="00CC1047">
        <w:rPr>
          <w:rFonts w:ascii="Times New Roman" w:hAnsi="Times New Roman" w:cs="Times New Roman"/>
          <w:b/>
          <w:bCs/>
          <w:sz w:val="24"/>
          <w:szCs w:val="24"/>
          <w:lang w:val="en-GB"/>
        </w:rPr>
        <w:t>Deadlines:</w:t>
      </w:r>
    </w:p>
    <w:p w14:paraId="00000018" w14:textId="0B5E9E10" w:rsidR="00C00631" w:rsidRDefault="002508FD" w:rsidP="009703AE">
      <w:pPr>
        <w:spacing w:before="240" w:after="240"/>
        <w:jc w:val="both"/>
        <w:rPr>
          <w:rFonts w:ascii="Times New Roman" w:hAnsi="Times New Roman" w:cs="Times New Roman"/>
          <w:sz w:val="24"/>
          <w:szCs w:val="24"/>
          <w:lang w:val="en-GB"/>
        </w:rPr>
      </w:pPr>
      <w:r w:rsidRPr="00CC1047">
        <w:rPr>
          <w:rFonts w:ascii="Times New Roman" w:hAnsi="Times New Roman" w:cs="Times New Roman"/>
          <w:b/>
          <w:bCs/>
          <w:sz w:val="24"/>
          <w:szCs w:val="24"/>
          <w:lang w:val="en-GB"/>
        </w:rPr>
        <w:t>Manuscript submission deadline for peer-reviewed sections (Yorick, Spectrum):</w:t>
      </w:r>
      <w:r w:rsidRPr="002508FD">
        <w:rPr>
          <w:rFonts w:ascii="Times New Roman" w:hAnsi="Times New Roman" w:cs="Times New Roman"/>
          <w:sz w:val="24"/>
          <w:szCs w:val="24"/>
          <w:lang w:val="en-GB"/>
        </w:rPr>
        <w:t xml:space="preserve"> </w:t>
      </w:r>
      <w:r w:rsidR="00193C82">
        <w:rPr>
          <w:rFonts w:ascii="Times New Roman" w:hAnsi="Times New Roman" w:cs="Times New Roman"/>
          <w:sz w:val="24"/>
          <w:szCs w:val="24"/>
          <w:lang w:val="en-GB"/>
        </w:rPr>
        <w:t>31</w:t>
      </w:r>
      <w:r w:rsidR="00193C82" w:rsidRPr="00193C82">
        <w:rPr>
          <w:rFonts w:ascii="Times New Roman" w:hAnsi="Times New Roman" w:cs="Times New Roman"/>
          <w:sz w:val="24"/>
          <w:szCs w:val="24"/>
          <w:vertAlign w:val="superscript"/>
          <w:lang w:val="en-GB"/>
        </w:rPr>
        <w:t>st</w:t>
      </w:r>
      <w:r w:rsidR="00193C82">
        <w:rPr>
          <w:rFonts w:ascii="Times New Roman" w:hAnsi="Times New Roman" w:cs="Times New Roman"/>
          <w:sz w:val="24"/>
          <w:szCs w:val="24"/>
          <w:lang w:val="en-GB"/>
        </w:rPr>
        <w:t xml:space="preserve"> January </w:t>
      </w:r>
      <w:r w:rsidR="00DA25A8" w:rsidRPr="00DA25A8">
        <w:rPr>
          <w:rFonts w:ascii="Times New Roman" w:hAnsi="Times New Roman" w:cs="Times New Roman"/>
          <w:sz w:val="24"/>
          <w:szCs w:val="24"/>
          <w:lang w:val="en-GB"/>
        </w:rPr>
        <w:t>202</w:t>
      </w:r>
      <w:r w:rsidR="00675556">
        <w:rPr>
          <w:rFonts w:ascii="Times New Roman" w:hAnsi="Times New Roman" w:cs="Times New Roman"/>
          <w:sz w:val="24"/>
          <w:szCs w:val="24"/>
          <w:lang w:val="en-GB"/>
        </w:rPr>
        <w:t>4</w:t>
      </w:r>
      <w:r w:rsidR="00DA25A8" w:rsidRPr="00DA25A8">
        <w:rPr>
          <w:rFonts w:ascii="Times New Roman" w:hAnsi="Times New Roman" w:cs="Times New Roman"/>
          <w:sz w:val="24"/>
          <w:szCs w:val="24"/>
          <w:lang w:val="en-GB"/>
        </w:rPr>
        <w:t xml:space="preserve"> </w:t>
      </w:r>
    </w:p>
    <w:p w14:paraId="65021EDF" w14:textId="7B1604AF" w:rsidR="002508FD" w:rsidRPr="00BF39BA" w:rsidRDefault="002508FD" w:rsidP="009703AE">
      <w:pPr>
        <w:spacing w:before="240" w:after="240"/>
        <w:jc w:val="both"/>
        <w:rPr>
          <w:rFonts w:ascii="Times New Roman" w:hAnsi="Times New Roman" w:cs="Times New Roman"/>
          <w:sz w:val="24"/>
          <w:szCs w:val="24"/>
          <w:lang w:val="en-GB"/>
        </w:rPr>
      </w:pPr>
      <w:r w:rsidRPr="00CC1047">
        <w:rPr>
          <w:rFonts w:ascii="Times New Roman" w:hAnsi="Times New Roman" w:cs="Times New Roman"/>
          <w:b/>
          <w:bCs/>
          <w:sz w:val="24"/>
          <w:szCs w:val="24"/>
          <w:lang w:val="en-GB"/>
        </w:rPr>
        <w:t>Manuscript submission deadline for non-reviewed sections (Reviews, Events):</w:t>
      </w:r>
      <w:r>
        <w:rPr>
          <w:rFonts w:ascii="Times New Roman" w:hAnsi="Times New Roman" w:cs="Times New Roman"/>
          <w:sz w:val="24"/>
          <w:szCs w:val="24"/>
          <w:lang w:val="en-GB"/>
        </w:rPr>
        <w:t xml:space="preserve"> 31</w:t>
      </w:r>
      <w:r w:rsidRPr="00DA25A8">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w:t>
      </w:r>
      <w:r w:rsidRPr="002508FD">
        <w:rPr>
          <w:rFonts w:ascii="Times New Roman" w:hAnsi="Times New Roman" w:cs="Times New Roman"/>
          <w:sz w:val="24"/>
          <w:szCs w:val="24"/>
          <w:lang w:val="en-GB"/>
        </w:rPr>
        <w:t>March 2024</w:t>
      </w:r>
    </w:p>
    <w:p w14:paraId="69683E75" w14:textId="1A3BBCF4" w:rsidR="00EF63E4" w:rsidRDefault="009703AE" w:rsidP="009703AE">
      <w:pPr>
        <w:spacing w:before="240" w:after="240"/>
        <w:jc w:val="both"/>
        <w:rPr>
          <w:rFonts w:ascii="Times New Roman" w:hAnsi="Times New Roman" w:cs="Times New Roman"/>
          <w:sz w:val="24"/>
          <w:szCs w:val="24"/>
          <w:lang w:val="en-GB"/>
        </w:rPr>
      </w:pPr>
      <w:r w:rsidRPr="00CC1047">
        <w:rPr>
          <w:rFonts w:ascii="Times New Roman" w:hAnsi="Times New Roman" w:cs="Times New Roman"/>
          <w:b/>
          <w:bCs/>
          <w:sz w:val="24"/>
          <w:szCs w:val="24"/>
          <w:lang w:val="en-GB"/>
        </w:rPr>
        <w:t>Foreseeable date of publication:</w:t>
      </w:r>
      <w:r w:rsidRPr="00BF39BA">
        <w:rPr>
          <w:rFonts w:ascii="Times New Roman" w:hAnsi="Times New Roman" w:cs="Times New Roman"/>
          <w:sz w:val="24"/>
          <w:szCs w:val="24"/>
          <w:lang w:val="en-GB"/>
        </w:rPr>
        <w:t xml:space="preserve"> </w:t>
      </w:r>
      <w:r w:rsidR="00DA25A8" w:rsidRPr="00DA25A8">
        <w:rPr>
          <w:rFonts w:ascii="Times New Roman" w:hAnsi="Times New Roman" w:cs="Times New Roman"/>
          <w:sz w:val="24"/>
          <w:szCs w:val="24"/>
          <w:lang w:val="en-GB"/>
        </w:rPr>
        <w:t>Fall 2024</w:t>
      </w:r>
    </w:p>
    <w:p w14:paraId="4282636A" w14:textId="77777777" w:rsidR="00CC1047" w:rsidRDefault="00CC1047" w:rsidP="009703AE">
      <w:pPr>
        <w:spacing w:before="240" w:after="240"/>
        <w:jc w:val="both"/>
        <w:rPr>
          <w:rFonts w:ascii="Times New Roman" w:hAnsi="Times New Roman" w:cs="Times New Roman"/>
          <w:sz w:val="24"/>
          <w:szCs w:val="24"/>
          <w:lang w:val="en-GB"/>
        </w:rPr>
      </w:pPr>
    </w:p>
    <w:p w14:paraId="3C4521E6" w14:textId="201218DB" w:rsidR="00193C82" w:rsidRPr="00193C82" w:rsidRDefault="00193C82" w:rsidP="00D735F9">
      <w:pPr>
        <w:spacing w:line="240" w:lineRule="auto"/>
        <w:rPr>
          <w:rFonts w:ascii="Times New Roman" w:eastAsia="Times New Roman" w:hAnsi="Times New Roman" w:cs="Times New Roman"/>
          <w:sz w:val="24"/>
          <w:szCs w:val="24"/>
          <w:lang w:eastAsia="en-GB"/>
        </w:rPr>
      </w:pPr>
      <w:r w:rsidRPr="00A1656F">
        <w:rPr>
          <w:rFonts w:ascii="Times New Roman" w:eastAsia="Times New Roman" w:hAnsi="Times New Roman" w:cs="Times New Roman"/>
          <w:sz w:val="24"/>
          <w:szCs w:val="24"/>
          <w:lang w:eastAsia="en-GB"/>
        </w:rPr>
        <w:t xml:space="preserve">All issue-related enquiries as well as submissions should be sent to the issue editors: </w:t>
      </w:r>
      <w:hyperlink r:id="rId5" w:history="1">
        <w:r w:rsidRPr="00A1656F">
          <w:rPr>
            <w:rStyle w:val="Hypertextovodkaz"/>
            <w:rFonts w:ascii="Times New Roman" w:eastAsia="Times New Roman" w:hAnsi="Times New Roman" w:cs="Times New Roman"/>
            <w:sz w:val="24"/>
            <w:szCs w:val="24"/>
            <w:lang w:eastAsia="en-GB"/>
          </w:rPr>
          <w:t>theatralia@phil.muni.cz</w:t>
        </w:r>
      </w:hyperlink>
      <w:r w:rsidRPr="00A1656F">
        <w:rPr>
          <w:rFonts w:ascii="Times New Roman" w:eastAsia="Times New Roman" w:hAnsi="Times New Roman" w:cs="Times New Roman"/>
          <w:sz w:val="24"/>
          <w:szCs w:val="24"/>
          <w:lang w:eastAsia="en-GB"/>
        </w:rPr>
        <w:t xml:space="preserve">. </w:t>
      </w:r>
    </w:p>
    <w:p w14:paraId="777DA98B" w14:textId="77777777" w:rsidR="00193C82" w:rsidRDefault="00193C82" w:rsidP="00D735F9">
      <w:pPr>
        <w:spacing w:line="240" w:lineRule="auto"/>
        <w:rPr>
          <w:rFonts w:ascii="Times New Roman" w:eastAsia="Times New Roman" w:hAnsi="Times New Roman" w:cs="Times New Roman"/>
          <w:sz w:val="24"/>
          <w:szCs w:val="24"/>
          <w:lang w:val="en-GB" w:eastAsia="en-GB"/>
        </w:rPr>
      </w:pPr>
    </w:p>
    <w:p w14:paraId="01CFF081" w14:textId="0D25A027" w:rsidR="00D735F9" w:rsidRPr="00805FEA" w:rsidRDefault="00D735F9" w:rsidP="00D735F9">
      <w:pPr>
        <w:spacing w:line="240" w:lineRule="auto"/>
        <w:rPr>
          <w:rFonts w:ascii="Times New Roman" w:eastAsia="Times New Roman" w:hAnsi="Times New Roman" w:cs="Times New Roman"/>
          <w:sz w:val="24"/>
          <w:szCs w:val="24"/>
          <w:lang w:val="en-GB" w:eastAsia="en-GB"/>
        </w:rPr>
      </w:pPr>
      <w:r w:rsidRPr="00805FEA">
        <w:rPr>
          <w:rFonts w:ascii="Times New Roman" w:eastAsia="Times New Roman" w:hAnsi="Times New Roman" w:cs="Times New Roman"/>
          <w:sz w:val="24"/>
          <w:szCs w:val="24"/>
          <w:lang w:val="en-GB" w:eastAsia="en-GB"/>
        </w:rPr>
        <w:t xml:space="preserve">General guidelines for submission, formal requirements and citation style are available at the section for authors on the </w:t>
      </w:r>
      <w:r w:rsidRPr="00805FEA">
        <w:rPr>
          <w:rFonts w:ascii="Times New Roman" w:eastAsia="Times New Roman" w:hAnsi="Times New Roman" w:cs="Times New Roman"/>
          <w:i/>
          <w:iCs/>
          <w:sz w:val="24"/>
          <w:szCs w:val="24"/>
          <w:lang w:val="en-GB" w:eastAsia="en-GB"/>
        </w:rPr>
        <w:t>Theatralia</w:t>
      </w:r>
      <w:r w:rsidRPr="00805FEA">
        <w:rPr>
          <w:rFonts w:ascii="Times New Roman" w:eastAsia="Times New Roman" w:hAnsi="Times New Roman" w:cs="Times New Roman"/>
          <w:sz w:val="24"/>
          <w:szCs w:val="24"/>
          <w:lang w:val="en-GB" w:eastAsia="en-GB"/>
        </w:rPr>
        <w:t xml:space="preserve"> </w:t>
      </w:r>
      <w:hyperlink r:id="rId6" w:history="1">
        <w:r w:rsidRPr="00805FEA">
          <w:rPr>
            <w:rStyle w:val="Hypertextovodkaz"/>
            <w:rFonts w:ascii="Times New Roman" w:eastAsia="Times New Roman" w:hAnsi="Times New Roman" w:cs="Times New Roman"/>
            <w:sz w:val="24"/>
            <w:szCs w:val="24"/>
            <w:lang w:val="en-GB" w:eastAsia="en-GB"/>
          </w:rPr>
          <w:t>website</w:t>
        </w:r>
      </w:hyperlink>
      <w:r w:rsidRPr="00805FEA">
        <w:rPr>
          <w:rFonts w:ascii="Times New Roman" w:eastAsia="Times New Roman" w:hAnsi="Times New Roman" w:cs="Times New Roman"/>
          <w:sz w:val="24"/>
          <w:szCs w:val="24"/>
          <w:lang w:val="en-GB" w:eastAsia="en-GB"/>
        </w:rPr>
        <w:t xml:space="preserve">. </w:t>
      </w:r>
    </w:p>
    <w:p w14:paraId="214A3575" w14:textId="77777777" w:rsidR="00D735F9" w:rsidRPr="00805FEA" w:rsidRDefault="00D735F9" w:rsidP="00D735F9">
      <w:pPr>
        <w:spacing w:line="240" w:lineRule="auto"/>
        <w:rPr>
          <w:rFonts w:ascii="Times New Roman" w:eastAsia="Times New Roman" w:hAnsi="Times New Roman" w:cs="Times New Roman"/>
          <w:sz w:val="24"/>
          <w:szCs w:val="24"/>
          <w:lang w:val="en-GB" w:eastAsia="en-GB"/>
        </w:rPr>
      </w:pPr>
    </w:p>
    <w:p w14:paraId="36F18842" w14:textId="77777777" w:rsidR="00D735F9" w:rsidRPr="00805FEA" w:rsidRDefault="00D735F9" w:rsidP="00D735F9">
      <w:pPr>
        <w:spacing w:line="240" w:lineRule="auto"/>
        <w:rPr>
          <w:rFonts w:ascii="Times New Roman" w:eastAsia="Times New Roman" w:hAnsi="Times New Roman" w:cs="Times New Roman"/>
          <w:sz w:val="24"/>
          <w:szCs w:val="24"/>
          <w:lang w:val="en-GB" w:eastAsia="en-GB"/>
        </w:rPr>
      </w:pPr>
      <w:r w:rsidRPr="00805FEA">
        <w:rPr>
          <w:rFonts w:ascii="Times New Roman" w:eastAsia="Times New Roman" w:hAnsi="Times New Roman" w:cs="Times New Roman"/>
          <w:i/>
          <w:iCs/>
          <w:sz w:val="24"/>
          <w:szCs w:val="24"/>
          <w:lang w:val="en-GB" w:eastAsia="en-GB"/>
        </w:rPr>
        <w:t>Theatralia</w:t>
      </w:r>
      <w:r w:rsidRPr="00805FEA">
        <w:rPr>
          <w:rFonts w:ascii="Times New Roman" w:eastAsia="Times New Roman" w:hAnsi="Times New Roman" w:cs="Times New Roman"/>
          <w:sz w:val="24"/>
          <w:szCs w:val="24"/>
          <w:lang w:val="en-GB" w:eastAsia="en-GB"/>
        </w:rPr>
        <w:t xml:space="preserve"> is a peer reviewed journal of theatre and performance history and theory, issued by Masaryk University, Brno, Czech Republic, and indexed in </w:t>
      </w:r>
      <w:hyperlink r:id="rId7" w:history="1">
        <w:r w:rsidRPr="00805FEA">
          <w:rPr>
            <w:rStyle w:val="Hypertextovodkaz"/>
            <w:rFonts w:ascii="Times New Roman" w:eastAsia="Times New Roman" w:hAnsi="Times New Roman" w:cs="Times New Roman"/>
            <w:sz w:val="24"/>
            <w:szCs w:val="24"/>
            <w:lang w:val="en-GB" w:eastAsia="en-GB"/>
          </w:rPr>
          <w:t>SCOPUS</w:t>
        </w:r>
      </w:hyperlink>
      <w:r w:rsidRPr="00805FEA">
        <w:rPr>
          <w:rFonts w:ascii="Times New Roman" w:eastAsia="Times New Roman" w:hAnsi="Times New Roman" w:cs="Times New Roman"/>
          <w:sz w:val="24"/>
          <w:szCs w:val="24"/>
          <w:lang w:val="en-GB" w:eastAsia="en-GB"/>
        </w:rPr>
        <w:t>, EBSCO and ERIH Plus and listed in the Ulrich’s web Global Serials Directory.</w:t>
      </w:r>
    </w:p>
    <w:p w14:paraId="5AD10B0A" w14:textId="77777777" w:rsidR="00D735F9" w:rsidRPr="00805FEA" w:rsidRDefault="00D735F9" w:rsidP="009703AE">
      <w:pPr>
        <w:spacing w:before="240" w:after="240"/>
        <w:jc w:val="both"/>
        <w:rPr>
          <w:rFonts w:ascii="Times New Roman" w:hAnsi="Times New Roman" w:cs="Times New Roman"/>
          <w:sz w:val="24"/>
          <w:szCs w:val="24"/>
        </w:rPr>
      </w:pPr>
    </w:p>
    <w:sectPr w:rsidR="00D735F9" w:rsidRPr="00805FE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31"/>
    <w:rsid w:val="00193C82"/>
    <w:rsid w:val="002508FD"/>
    <w:rsid w:val="00496F15"/>
    <w:rsid w:val="004F76B9"/>
    <w:rsid w:val="006323A4"/>
    <w:rsid w:val="00675556"/>
    <w:rsid w:val="00805FEA"/>
    <w:rsid w:val="009703AE"/>
    <w:rsid w:val="00BE39B2"/>
    <w:rsid w:val="00BF39BA"/>
    <w:rsid w:val="00C00631"/>
    <w:rsid w:val="00CC1047"/>
    <w:rsid w:val="00D62C3D"/>
    <w:rsid w:val="00D735F9"/>
    <w:rsid w:val="00DA25A8"/>
    <w:rsid w:val="00E05191"/>
    <w:rsid w:val="00E41F87"/>
    <w:rsid w:val="00EF63E4"/>
    <w:rsid w:val="00F81375"/>
    <w:rsid w:val="00F851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B4A6"/>
  <w15:docId w15:val="{767BCEB2-6D2C-4F89-9714-959801EF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character" w:styleId="Odkaznakoment">
    <w:name w:val="annotation reference"/>
    <w:basedOn w:val="Standardnpsmoodstavce"/>
    <w:uiPriority w:val="99"/>
    <w:semiHidden/>
    <w:unhideWhenUsed/>
    <w:rsid w:val="00BE39B2"/>
    <w:rPr>
      <w:sz w:val="16"/>
      <w:szCs w:val="16"/>
    </w:rPr>
  </w:style>
  <w:style w:type="paragraph" w:styleId="Textkomente">
    <w:name w:val="annotation text"/>
    <w:basedOn w:val="Normln"/>
    <w:link w:val="TextkomenteChar"/>
    <w:uiPriority w:val="99"/>
    <w:unhideWhenUsed/>
    <w:rsid w:val="00BE39B2"/>
    <w:pPr>
      <w:spacing w:line="240" w:lineRule="auto"/>
    </w:pPr>
    <w:rPr>
      <w:sz w:val="20"/>
      <w:szCs w:val="20"/>
    </w:rPr>
  </w:style>
  <w:style w:type="character" w:customStyle="1" w:styleId="TextkomenteChar">
    <w:name w:val="Text komentáře Char"/>
    <w:basedOn w:val="Standardnpsmoodstavce"/>
    <w:link w:val="Textkomente"/>
    <w:uiPriority w:val="99"/>
    <w:rsid w:val="00BE39B2"/>
    <w:rPr>
      <w:sz w:val="20"/>
      <w:szCs w:val="20"/>
    </w:rPr>
  </w:style>
  <w:style w:type="paragraph" w:styleId="Pedmtkomente">
    <w:name w:val="annotation subject"/>
    <w:basedOn w:val="Textkomente"/>
    <w:next w:val="Textkomente"/>
    <w:link w:val="PedmtkomenteChar"/>
    <w:uiPriority w:val="99"/>
    <w:semiHidden/>
    <w:unhideWhenUsed/>
    <w:rsid w:val="00BE39B2"/>
    <w:rPr>
      <w:b/>
      <w:bCs/>
    </w:rPr>
  </w:style>
  <w:style w:type="character" w:customStyle="1" w:styleId="PedmtkomenteChar">
    <w:name w:val="Předmět komentáře Char"/>
    <w:basedOn w:val="TextkomenteChar"/>
    <w:link w:val="Pedmtkomente"/>
    <w:uiPriority w:val="99"/>
    <w:semiHidden/>
    <w:rsid w:val="00BE39B2"/>
    <w:rPr>
      <w:b/>
      <w:bCs/>
      <w:sz w:val="20"/>
      <w:szCs w:val="20"/>
    </w:rPr>
  </w:style>
  <w:style w:type="paragraph" w:styleId="Textbubliny">
    <w:name w:val="Balloon Text"/>
    <w:basedOn w:val="Normln"/>
    <w:link w:val="TextbublinyChar"/>
    <w:uiPriority w:val="99"/>
    <w:semiHidden/>
    <w:unhideWhenUsed/>
    <w:rsid w:val="00BE39B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39B2"/>
    <w:rPr>
      <w:rFonts w:ascii="Segoe UI" w:hAnsi="Segoe UI" w:cs="Segoe UI"/>
      <w:sz w:val="18"/>
      <w:szCs w:val="18"/>
    </w:rPr>
  </w:style>
  <w:style w:type="paragraph" w:styleId="Revize">
    <w:name w:val="Revision"/>
    <w:hidden/>
    <w:uiPriority w:val="99"/>
    <w:semiHidden/>
    <w:rsid w:val="00DA25A8"/>
    <w:pPr>
      <w:spacing w:line="240" w:lineRule="auto"/>
    </w:pPr>
  </w:style>
  <w:style w:type="character" w:styleId="Hypertextovodkaz">
    <w:name w:val="Hyperlink"/>
    <w:basedOn w:val="Standardnpsmoodstavce"/>
    <w:uiPriority w:val="99"/>
    <w:unhideWhenUsed/>
    <w:rsid w:val="00D73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pus.com/sourceid/21100886418?origin=resultsli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hil.muni.cz/journals/index.php/theatralia/pages/view/authors" TargetMode="External"/><Relationship Id="rId5" Type="http://schemas.openxmlformats.org/officeDocument/2006/relationships/hyperlink" Target="mailto:theatralia@phil.muni.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41E3-5A6E-4EC4-8AA0-0A8795E7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601</Words>
  <Characters>3551</Characters>
  <Application>Microsoft Office Word</Application>
  <DocSecurity>0</DocSecurity>
  <Lines>29</Lines>
  <Paragraphs>8</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Eliska Raiterova</cp:lastModifiedBy>
  <cp:revision>15</cp:revision>
  <dcterms:created xsi:type="dcterms:W3CDTF">2023-10-09T16:12:00Z</dcterms:created>
  <dcterms:modified xsi:type="dcterms:W3CDTF">2023-10-17T14:25:00Z</dcterms:modified>
</cp:coreProperties>
</file>